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6188B83B" w:rsidR="00C606C6" w:rsidRPr="00A75CA8" w:rsidRDefault="007A5A4F">
      <w:pPr>
        <w:pStyle w:val="Kopfzeile"/>
        <w:tabs>
          <w:tab w:val="clear" w:pos="4153"/>
          <w:tab w:val="clear" w:pos="8306"/>
        </w:tabs>
        <w:rPr>
          <w:rFonts w:ascii="DIN-Bold" w:hAnsi="DIN-Bold" w:cs="Arial"/>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7B5A1B74">
            <wp:simplePos x="0" y="0"/>
            <wp:positionH relativeFrom="column">
              <wp:posOffset>-19050</wp:posOffset>
            </wp:positionH>
            <wp:positionV relativeFrom="paragraph">
              <wp:posOffset>1136015</wp:posOffset>
            </wp:positionV>
            <wp:extent cx="1997710"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1997710" cy="1330325"/>
                    </a:xfrm>
                    <a:prstGeom prst="rect">
                      <a:avLst/>
                    </a:prstGeom>
                  </pic:spPr>
                </pic:pic>
              </a:graphicData>
            </a:graphic>
            <wp14:sizeRelH relativeFrom="margin">
              <wp14:pctWidth>0</wp14:pctWidth>
            </wp14:sizeRelH>
            <wp14:sizeRelV relativeFrom="margin">
              <wp14:pctHeight>0</wp14:pctHeight>
            </wp14:sizeRelV>
          </wp:anchor>
        </w:drawing>
      </w:r>
    </w:p>
    <w:p w14:paraId="6EDA83CE" w14:textId="3105E05C" w:rsidR="00B0544F" w:rsidRPr="001634F6" w:rsidRDefault="001A2A49" w:rsidP="007A5A4F">
      <w:pPr>
        <w:framePr w:w="8648" w:h="1124" w:hSpace="142" w:wrap="around" w:vAnchor="page" w:hAnchor="page" w:x="897" w:y="4656" w:anchorLock="1"/>
        <w:rPr>
          <w:rFonts w:ascii="DIN-Medium" w:hAnsi="DIN-Medium"/>
          <w:sz w:val="31"/>
          <w:lang w:val="de-DE"/>
        </w:rPr>
      </w:pPr>
      <w:r>
        <w:rPr>
          <w:rFonts w:ascii="DIN-Medium" w:hAnsi="DIN-Medium"/>
          <w:sz w:val="31"/>
          <w:lang w:val="de-DE"/>
        </w:rPr>
        <w:t xml:space="preserve">Panasonic OLED-Highlights </w:t>
      </w:r>
      <w:r w:rsidR="001634F6">
        <w:rPr>
          <w:rFonts w:ascii="DIN-Medium" w:hAnsi="DIN-Medium"/>
          <w:sz w:val="31"/>
          <w:lang w:val="de-DE"/>
        </w:rPr>
        <w:t>jetzt verfügbar</w:t>
      </w:r>
    </w:p>
    <w:p w14:paraId="4FFF7656" w14:textId="0A6B44C4" w:rsidR="00B0544F" w:rsidRPr="00EF4416" w:rsidRDefault="001A2A49" w:rsidP="007A5A4F">
      <w:pPr>
        <w:framePr w:w="8648" w:h="1124" w:hSpace="142" w:wrap="around" w:vAnchor="page" w:hAnchor="page" w:x="897" w:y="4656" w:anchorLock="1"/>
        <w:rPr>
          <w:rFonts w:ascii="DIN-Black" w:hAnsi="DIN-Black"/>
          <w:sz w:val="25"/>
          <w:lang w:val="de-DE"/>
        </w:rPr>
      </w:pPr>
      <w:r>
        <w:rPr>
          <w:rFonts w:ascii="DIN-Black" w:hAnsi="DIN-Black"/>
          <w:sz w:val="25"/>
          <w:lang w:val="de-DE"/>
        </w:rPr>
        <w:t>D</w:t>
      </w:r>
      <w:r w:rsidR="001634F6">
        <w:rPr>
          <w:rFonts w:ascii="DIN-Black" w:hAnsi="DIN-Black"/>
          <w:sz w:val="25"/>
          <w:lang w:val="de-DE"/>
        </w:rPr>
        <w:t>ie neuen OLED-TV-Modellreihen</w:t>
      </w:r>
      <w:r>
        <w:rPr>
          <w:rFonts w:ascii="DIN-Black" w:hAnsi="DIN-Black"/>
          <w:sz w:val="25"/>
          <w:lang w:val="de-DE"/>
        </w:rPr>
        <w:t xml:space="preserve"> </w:t>
      </w:r>
      <w:r w:rsidR="002C3C89">
        <w:rPr>
          <w:rFonts w:ascii="DIN-Black" w:hAnsi="DIN-Black"/>
          <w:sz w:val="25"/>
          <w:lang w:val="de-DE"/>
        </w:rPr>
        <w:t>JZC</w:t>
      </w:r>
      <w:r>
        <w:rPr>
          <w:rFonts w:ascii="DIN-Black" w:hAnsi="DIN-Black"/>
          <w:sz w:val="25"/>
          <w:lang w:val="de-DE"/>
        </w:rPr>
        <w:t xml:space="preserve">2004 und </w:t>
      </w:r>
      <w:r w:rsidR="002C3C89">
        <w:rPr>
          <w:rFonts w:ascii="DIN-Black" w:hAnsi="DIN-Black"/>
          <w:sz w:val="25"/>
          <w:lang w:val="de-DE"/>
        </w:rPr>
        <w:t>JZC</w:t>
      </w:r>
      <w:r>
        <w:rPr>
          <w:rFonts w:ascii="DIN-Black" w:hAnsi="DIN-Black"/>
          <w:sz w:val="25"/>
          <w:lang w:val="de-DE"/>
        </w:rPr>
        <w:t xml:space="preserve">1004 </w:t>
      </w:r>
      <w:r w:rsidR="009A373F">
        <w:rPr>
          <w:rFonts w:ascii="DIN-Black" w:hAnsi="DIN-Black"/>
          <w:sz w:val="25"/>
          <w:lang w:val="de-DE"/>
        </w:rPr>
        <w:t xml:space="preserve">sind </w:t>
      </w:r>
      <w:r w:rsidR="002C3C89">
        <w:rPr>
          <w:rFonts w:ascii="DIN-Black" w:hAnsi="DIN-Black"/>
          <w:sz w:val="25"/>
          <w:lang w:val="de-DE"/>
        </w:rPr>
        <w:br/>
      </w:r>
      <w:r w:rsidR="009A373F">
        <w:rPr>
          <w:rFonts w:ascii="DIN-Black" w:hAnsi="DIN-Black"/>
          <w:sz w:val="25"/>
          <w:lang w:val="de-DE"/>
        </w:rPr>
        <w:t xml:space="preserve">ab sofort im </w:t>
      </w:r>
      <w:r w:rsidR="009A373F">
        <w:rPr>
          <w:rFonts w:ascii="DIN-Black" w:hAnsi="DIN-Black"/>
          <w:vanish/>
          <w:sz w:val="25"/>
          <w:lang w:val="de-DE"/>
        </w:rPr>
        <w:t>H</w:t>
      </w:r>
      <w:r w:rsidR="001634F6">
        <w:rPr>
          <w:rFonts w:ascii="DIN-Black" w:hAnsi="DIN-Black"/>
          <w:sz w:val="25"/>
          <w:lang w:val="de-DE"/>
        </w:rPr>
        <w:t>Handel</w:t>
      </w:r>
      <w:r w:rsidR="009A373F">
        <w:rPr>
          <w:rFonts w:ascii="DIN-Black" w:hAnsi="DIN-Black"/>
          <w:sz w:val="25"/>
          <w:lang w:val="de-DE"/>
        </w:rPr>
        <w:t xml:space="preserve"> erhältlich</w:t>
      </w:r>
    </w:p>
    <w:p w14:paraId="487F8E54" w14:textId="5690E766" w:rsidR="006A5758" w:rsidRPr="005D652D" w:rsidRDefault="006A5758" w:rsidP="007A5A4F">
      <w:pPr>
        <w:framePr w:w="8648" w:h="1124" w:hSpace="142" w:wrap="around" w:vAnchor="page" w:hAnchor="page" w:x="897" w:y="4656" w:anchorLock="1"/>
        <w:rPr>
          <w:rFonts w:ascii="DIN-Medium" w:hAnsi="DIN-Medium"/>
          <w:sz w:val="31"/>
          <w:lang w:val="de-DE"/>
        </w:rPr>
      </w:pPr>
    </w:p>
    <w:p w14:paraId="6083FE8F" w14:textId="67FDE2B8"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B0544F">
        <w:rPr>
          <w:rFonts w:ascii="DIN-Black" w:hAnsi="DIN-Black"/>
          <w:color w:val="808080"/>
          <w:sz w:val="22"/>
          <w:lang w:val="de-DE"/>
        </w:rPr>
        <w:t>Ju</w:t>
      </w:r>
      <w:r w:rsidR="007713E1">
        <w:rPr>
          <w:rFonts w:ascii="DIN-Black" w:hAnsi="DIN-Black"/>
          <w:color w:val="808080"/>
          <w:sz w:val="22"/>
          <w:lang w:val="de-DE"/>
        </w:rPr>
        <w:t>l</w:t>
      </w:r>
      <w:r w:rsidR="00B0544F">
        <w:rPr>
          <w:rFonts w:ascii="DIN-Black" w:hAnsi="DIN-Black"/>
          <w:color w:val="808080"/>
          <w:sz w:val="22"/>
          <w:lang w:val="de-DE"/>
        </w:rPr>
        <w:t>i</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1452484E" w:rsidR="008460A2" w:rsidRPr="002C3C89" w:rsidRDefault="002C3C89" w:rsidP="00E6005F">
      <w:pPr>
        <w:ind w:right="-57"/>
        <w:rPr>
          <w:rFonts w:ascii="DIN-Bold" w:hAnsi="DIN-Bold"/>
          <w:bCs/>
          <w:sz w:val="20"/>
          <w:lang w:val="de-DE"/>
        </w:rPr>
      </w:pPr>
      <w:r w:rsidRPr="002C3C89">
        <w:rPr>
          <w:rFonts w:ascii="DIN-Bold" w:hAnsi="DIN-Bold"/>
          <w:bCs/>
          <w:sz w:val="20"/>
          <w:lang w:val="de-DE"/>
        </w:rPr>
        <w:t>Rotkreuz</w:t>
      </w:r>
      <w:r w:rsidR="00746852" w:rsidRPr="002C3C89">
        <w:rPr>
          <w:rFonts w:ascii="DIN-Bold" w:hAnsi="DIN-Bold"/>
          <w:bCs/>
          <w:sz w:val="20"/>
          <w:lang w:val="de-DE"/>
        </w:rPr>
        <w:t xml:space="preserve">, </w:t>
      </w:r>
      <w:r w:rsidR="00B0544F" w:rsidRPr="002C3C89">
        <w:rPr>
          <w:rFonts w:ascii="DIN-Bold" w:hAnsi="DIN-Bold"/>
          <w:bCs/>
          <w:sz w:val="20"/>
          <w:lang w:val="de-DE"/>
        </w:rPr>
        <w:t>Ju</w:t>
      </w:r>
      <w:r w:rsidR="007713E1" w:rsidRPr="002C3C89">
        <w:rPr>
          <w:rFonts w:ascii="DIN-Bold" w:hAnsi="DIN-Bold"/>
          <w:bCs/>
          <w:sz w:val="20"/>
          <w:lang w:val="de-DE"/>
        </w:rPr>
        <w:t>l</w:t>
      </w:r>
      <w:r w:rsidR="00B0544F" w:rsidRPr="002C3C89">
        <w:rPr>
          <w:rFonts w:ascii="DIN-Bold" w:hAnsi="DIN-Bold"/>
          <w:bCs/>
          <w:sz w:val="20"/>
          <w:lang w:val="de-DE"/>
        </w:rPr>
        <w:t>i</w:t>
      </w:r>
      <w:r w:rsidR="00BE4EC2" w:rsidRPr="002C3C89">
        <w:rPr>
          <w:rFonts w:ascii="DIN-Bold" w:hAnsi="DIN-Bold"/>
          <w:bCs/>
          <w:sz w:val="20"/>
          <w:lang w:val="de-DE"/>
        </w:rPr>
        <w:t xml:space="preserve"> 2021</w:t>
      </w:r>
      <w:r w:rsidR="00746852" w:rsidRPr="002C3C89">
        <w:rPr>
          <w:rFonts w:ascii="DIN-Bold" w:hAnsi="DIN-Bold"/>
          <w:bCs/>
          <w:sz w:val="20"/>
          <w:lang w:val="de-DE"/>
        </w:rPr>
        <w:t xml:space="preserve"> </w:t>
      </w:r>
      <w:r w:rsidR="001634F6" w:rsidRPr="002C3C89">
        <w:rPr>
          <w:rFonts w:ascii="DIN-Bold" w:hAnsi="DIN-Bold"/>
          <w:bCs/>
          <w:sz w:val="20"/>
          <w:lang w:val="de-DE"/>
        </w:rPr>
        <w:t>–</w:t>
      </w:r>
      <w:r w:rsidR="00746852" w:rsidRPr="002C3C89">
        <w:rPr>
          <w:rFonts w:ascii="DIN-Bold" w:hAnsi="DIN-Bold"/>
          <w:bCs/>
          <w:sz w:val="20"/>
          <w:lang w:val="de-DE"/>
        </w:rPr>
        <w:t xml:space="preserve"> </w:t>
      </w:r>
      <w:r w:rsidR="001634F6" w:rsidRPr="002C3C89">
        <w:rPr>
          <w:rFonts w:ascii="DIN-Bold" w:hAnsi="DIN-Bold"/>
          <w:bCs/>
          <w:sz w:val="20"/>
          <w:lang w:val="de-DE"/>
        </w:rPr>
        <w:t>Nach de</w:t>
      </w:r>
      <w:r w:rsidR="009A373F" w:rsidRPr="002C3C89">
        <w:rPr>
          <w:rFonts w:ascii="DIN-Bold" w:hAnsi="DIN-Bold"/>
          <w:bCs/>
          <w:sz w:val="20"/>
          <w:lang w:val="de-DE"/>
        </w:rPr>
        <w:t>r</w:t>
      </w:r>
      <w:r w:rsidR="001634F6" w:rsidRPr="002C3C89">
        <w:rPr>
          <w:rFonts w:ascii="DIN-Bold" w:hAnsi="DIN-Bold"/>
          <w:bCs/>
          <w:sz w:val="20"/>
          <w:lang w:val="de-DE"/>
        </w:rPr>
        <w:t xml:space="preserve"> Vorankündigung </w:t>
      </w:r>
      <w:r w:rsidR="009A373F" w:rsidRPr="002C3C89">
        <w:rPr>
          <w:rFonts w:ascii="DIN-Bold" w:hAnsi="DIN-Bold"/>
          <w:bCs/>
          <w:sz w:val="20"/>
          <w:lang w:val="de-DE"/>
        </w:rPr>
        <w:t xml:space="preserve">im Frühjahr </w:t>
      </w:r>
      <w:r w:rsidR="001634F6" w:rsidRPr="002C3C89">
        <w:rPr>
          <w:rFonts w:ascii="DIN-Bold" w:hAnsi="DIN-Bold"/>
          <w:bCs/>
          <w:sz w:val="20"/>
          <w:lang w:val="de-DE"/>
        </w:rPr>
        <w:t>diese</w:t>
      </w:r>
      <w:r w:rsidR="00DC76C0" w:rsidRPr="002C3C89">
        <w:rPr>
          <w:rFonts w:ascii="DIN-Bold" w:hAnsi="DIN-Bold"/>
          <w:bCs/>
          <w:sz w:val="20"/>
          <w:lang w:val="de-DE"/>
        </w:rPr>
        <w:t>n</w:t>
      </w:r>
      <w:r w:rsidR="001634F6" w:rsidRPr="002C3C89">
        <w:rPr>
          <w:rFonts w:ascii="DIN-Bold" w:hAnsi="DIN-Bold"/>
          <w:bCs/>
          <w:sz w:val="20"/>
          <w:lang w:val="de-DE"/>
        </w:rPr>
        <w:t xml:space="preserve"> Jahres gibt Panasonic bekannt, dass</w:t>
      </w:r>
      <w:r w:rsidR="000905DF">
        <w:rPr>
          <w:rFonts w:ascii="DIN-Bold" w:hAnsi="DIN-Bold"/>
          <w:bCs/>
          <w:sz w:val="20"/>
          <w:lang w:val="de-DE"/>
        </w:rPr>
        <w:t xml:space="preserve"> </w:t>
      </w:r>
      <w:r w:rsidR="001634F6" w:rsidRPr="002C3C89">
        <w:rPr>
          <w:rFonts w:ascii="DIN-Bold" w:hAnsi="DIN-Bold"/>
          <w:bCs/>
          <w:sz w:val="20"/>
          <w:lang w:val="de-DE"/>
        </w:rPr>
        <w:t xml:space="preserve">das neue OLED-TV-Flaggschiff, der </w:t>
      </w:r>
      <w:r w:rsidRPr="002C3C89">
        <w:rPr>
          <w:rFonts w:ascii="DIN-Bold" w:hAnsi="DIN-Bold"/>
          <w:bCs/>
          <w:sz w:val="20"/>
          <w:lang w:val="de-DE"/>
        </w:rPr>
        <w:t>JZC</w:t>
      </w:r>
      <w:r w:rsidR="001634F6" w:rsidRPr="002C3C89">
        <w:rPr>
          <w:rFonts w:ascii="DIN-Bold" w:hAnsi="DIN-Bold"/>
          <w:bCs/>
          <w:sz w:val="20"/>
          <w:lang w:val="de-DE"/>
        </w:rPr>
        <w:t xml:space="preserve">2004, </w:t>
      </w:r>
      <w:r w:rsidR="000C341B" w:rsidRPr="002C3C89">
        <w:rPr>
          <w:rFonts w:ascii="DIN-Bold" w:hAnsi="DIN-Bold"/>
          <w:bCs/>
          <w:sz w:val="20"/>
          <w:lang w:val="de-DE"/>
        </w:rPr>
        <w:t xml:space="preserve">und der </w:t>
      </w:r>
      <w:r w:rsidRPr="002C3C89">
        <w:rPr>
          <w:rFonts w:ascii="DIN-Bold" w:hAnsi="DIN-Bold"/>
          <w:bCs/>
          <w:sz w:val="20"/>
          <w:lang w:val="de-DE"/>
        </w:rPr>
        <w:t>JZC</w:t>
      </w:r>
      <w:r w:rsidR="001634F6" w:rsidRPr="002C3C89">
        <w:rPr>
          <w:rFonts w:ascii="DIN-Bold" w:hAnsi="DIN-Bold"/>
          <w:bCs/>
          <w:sz w:val="20"/>
          <w:lang w:val="de-DE"/>
        </w:rPr>
        <w:t xml:space="preserve">1004 ab </w:t>
      </w:r>
      <w:r w:rsidR="000C341B" w:rsidRPr="002C3C89">
        <w:rPr>
          <w:rFonts w:ascii="DIN-Bold" w:hAnsi="DIN-Bold"/>
          <w:bCs/>
          <w:sz w:val="20"/>
          <w:lang w:val="de-DE"/>
        </w:rPr>
        <w:t xml:space="preserve">Juli </w:t>
      </w:r>
      <w:r w:rsidR="001634F6" w:rsidRPr="002C3C89">
        <w:rPr>
          <w:rFonts w:ascii="DIN-Bold" w:hAnsi="DIN-Bold"/>
          <w:bCs/>
          <w:sz w:val="20"/>
          <w:lang w:val="de-DE"/>
        </w:rPr>
        <w:t xml:space="preserve">im Handel erhältlich </w:t>
      </w:r>
      <w:r w:rsidR="000C341B" w:rsidRPr="002C3C89">
        <w:rPr>
          <w:rFonts w:ascii="DIN-Bold" w:hAnsi="DIN-Bold"/>
          <w:bCs/>
          <w:sz w:val="20"/>
          <w:lang w:val="de-DE"/>
        </w:rPr>
        <w:t>sein werden</w:t>
      </w:r>
      <w:r w:rsidR="001634F6" w:rsidRPr="002C3C89">
        <w:rPr>
          <w:rFonts w:ascii="DIN-Bold" w:hAnsi="DIN-Bold"/>
          <w:bCs/>
          <w:sz w:val="20"/>
          <w:lang w:val="de-DE"/>
        </w:rPr>
        <w:t xml:space="preserve">. Während der </w:t>
      </w:r>
      <w:r w:rsidRPr="002C3C89">
        <w:rPr>
          <w:rFonts w:ascii="DIN-Bold" w:hAnsi="DIN-Bold"/>
          <w:bCs/>
          <w:sz w:val="20"/>
          <w:lang w:val="de-DE"/>
        </w:rPr>
        <w:t>JZC</w:t>
      </w:r>
      <w:r w:rsidR="001634F6" w:rsidRPr="002C3C89">
        <w:rPr>
          <w:rFonts w:ascii="DIN-Bold" w:hAnsi="DIN-Bold"/>
          <w:bCs/>
          <w:sz w:val="20"/>
          <w:lang w:val="de-DE"/>
        </w:rPr>
        <w:t xml:space="preserve">2004 in zwei </w:t>
      </w:r>
      <w:proofErr w:type="spellStart"/>
      <w:r w:rsidR="001634F6" w:rsidRPr="002C3C89">
        <w:rPr>
          <w:rFonts w:ascii="DIN-Bold" w:hAnsi="DIN-Bold"/>
          <w:bCs/>
          <w:sz w:val="20"/>
          <w:lang w:val="de-DE"/>
        </w:rPr>
        <w:t>Grö</w:t>
      </w:r>
      <w:r w:rsidR="00E0607B">
        <w:rPr>
          <w:rFonts w:ascii="DIN-Bold" w:hAnsi="DIN-Bold"/>
          <w:bCs/>
          <w:sz w:val="20"/>
          <w:lang w:val="de-DE"/>
        </w:rPr>
        <w:t>ss</w:t>
      </w:r>
      <w:r w:rsidR="001634F6" w:rsidRPr="002C3C89">
        <w:rPr>
          <w:rFonts w:ascii="DIN-Bold" w:hAnsi="DIN-Bold"/>
          <w:bCs/>
          <w:sz w:val="20"/>
          <w:lang w:val="de-DE"/>
        </w:rPr>
        <w:t>en</w:t>
      </w:r>
      <w:proofErr w:type="spellEnd"/>
      <w:r w:rsidR="001634F6" w:rsidRPr="002C3C89">
        <w:rPr>
          <w:rFonts w:ascii="DIN-Bold" w:hAnsi="DIN-Bold"/>
          <w:bCs/>
          <w:sz w:val="20"/>
          <w:lang w:val="de-DE"/>
        </w:rPr>
        <w:t xml:space="preserve"> </w:t>
      </w:r>
      <w:r w:rsidR="000905DF">
        <w:rPr>
          <w:rFonts w:ascii="DIN-Bold" w:hAnsi="DIN-Bold"/>
          <w:bCs/>
          <w:sz w:val="20"/>
          <w:lang w:val="de-DE"/>
        </w:rPr>
        <w:br/>
      </w:r>
      <w:r w:rsidR="001634F6" w:rsidRPr="002C3C89">
        <w:rPr>
          <w:rFonts w:ascii="DIN-Bold" w:hAnsi="DIN-Bold"/>
          <w:bCs/>
          <w:sz w:val="20"/>
          <w:lang w:val="de-DE"/>
        </w:rPr>
        <w:t xml:space="preserve">(65 und 55 Zoll) auf den Markt kommt, wird es vom </w:t>
      </w:r>
      <w:r w:rsidRPr="002C3C89">
        <w:rPr>
          <w:rFonts w:ascii="DIN-Bold" w:hAnsi="DIN-Bold"/>
          <w:bCs/>
          <w:sz w:val="20"/>
          <w:lang w:val="de-DE"/>
        </w:rPr>
        <w:t>JZC</w:t>
      </w:r>
      <w:r w:rsidR="001634F6" w:rsidRPr="002C3C89">
        <w:rPr>
          <w:rFonts w:ascii="DIN-Bold" w:hAnsi="DIN-Bold"/>
          <w:bCs/>
          <w:sz w:val="20"/>
          <w:lang w:val="de-DE"/>
        </w:rPr>
        <w:t xml:space="preserve">1004 gleich drei Varianten (65, 55 und 48 Zoll) geben. </w:t>
      </w:r>
    </w:p>
    <w:p w14:paraId="30D92857" w14:textId="77777777" w:rsidR="00E6005F" w:rsidRPr="002C3C89" w:rsidRDefault="00E6005F" w:rsidP="00E6005F">
      <w:pPr>
        <w:autoSpaceDE w:val="0"/>
        <w:autoSpaceDN w:val="0"/>
        <w:adjustRightInd w:val="0"/>
        <w:rPr>
          <w:rFonts w:ascii="DIN-Regular" w:hAnsi="DIN-Regular" w:cs="Helv"/>
          <w:bCs/>
          <w:color w:val="000000"/>
          <w:sz w:val="20"/>
          <w:lang w:val="de-DE"/>
        </w:rPr>
      </w:pPr>
    </w:p>
    <w:p w14:paraId="07B888DE" w14:textId="5C12BB78" w:rsidR="008C3846" w:rsidRPr="008C3846" w:rsidRDefault="001634F6" w:rsidP="008C3846">
      <w:pPr>
        <w:rPr>
          <w:rFonts w:ascii="DIN-Bold" w:hAnsi="DIN-Bold"/>
          <w:bCs/>
          <w:sz w:val="20"/>
          <w:lang w:val="de-DE"/>
        </w:rPr>
      </w:pPr>
      <w:r w:rsidRPr="002C3C89">
        <w:rPr>
          <w:rFonts w:ascii="DIN-Regular" w:hAnsi="DIN-Regular" w:cs="Helv"/>
          <w:bCs/>
          <w:color w:val="000000"/>
          <w:lang w:val="de-DE"/>
        </w:rPr>
        <w:br/>
      </w:r>
      <w:r w:rsidRPr="002C3C89">
        <w:rPr>
          <w:rFonts w:ascii="DIN-Bold" w:hAnsi="DIN-Bold"/>
          <w:bCs/>
          <w:sz w:val="20"/>
          <w:lang w:val="de-DE"/>
        </w:rPr>
        <w:t>Perfekte Bildqualität dank künstlicher Intelligenz</w:t>
      </w:r>
      <w:r>
        <w:rPr>
          <w:rFonts w:ascii="DIN-Regular" w:hAnsi="DIN-Regular" w:cs="Helv"/>
          <w:color w:val="000000"/>
          <w:lang w:val="de-DE"/>
        </w:rPr>
        <w:br/>
      </w:r>
      <w:r w:rsidR="00A96847" w:rsidRPr="002C3C89">
        <w:rPr>
          <w:rFonts w:ascii="DIN Pro" w:hAnsi="DIN Pro"/>
          <w:bCs/>
          <w:sz w:val="20"/>
          <w:lang w:val="de-DE"/>
        </w:rPr>
        <w:t xml:space="preserve">Herzstück des OLED-TVs </w:t>
      </w:r>
      <w:r w:rsidR="002C3C89" w:rsidRPr="002C3C89">
        <w:rPr>
          <w:rFonts w:ascii="DIN Pro" w:hAnsi="DIN Pro"/>
          <w:bCs/>
          <w:sz w:val="20"/>
          <w:lang w:val="de-DE"/>
        </w:rPr>
        <w:t>JZC</w:t>
      </w:r>
      <w:r w:rsidR="00A96847" w:rsidRPr="002C3C89">
        <w:rPr>
          <w:rFonts w:ascii="DIN Pro" w:hAnsi="DIN Pro"/>
          <w:bCs/>
          <w:sz w:val="20"/>
          <w:lang w:val="de-DE"/>
        </w:rPr>
        <w:t>2004 ist der neu entwickelte HCX Pro AI Processor, der mit künstlicher Intelligenz das Film- und Fernseherlebnis auf ein neues Niveau hebt. Gleichgültig ob Inhalte wie Kino, Sport, Musik, Spiele oder Unterhaltung dargestellt werden – der HCX Pro AI Processor passt die Bildqualität optimal an und bietet dem Fernsehzuschauer automatisch die perfekte Bild- und Tonqualität.</w:t>
      </w:r>
      <w:r w:rsidR="008C3846" w:rsidRPr="002C3C89">
        <w:rPr>
          <w:rFonts w:ascii="DIN Pro" w:hAnsi="DIN Pro"/>
          <w:bCs/>
          <w:sz w:val="20"/>
          <w:lang w:val="de-DE"/>
        </w:rPr>
        <w:t xml:space="preserve"> Das selektierte und optimierte Master HDR OLED Professional Edition Panel gewährleistet darüber hinaus höchste Spitzen- und Durchschnittshelligkeit, um zusammen mit Multi HDR Ultimate das Film- und Fernseherlebnis auf ein neues Niveau zu setzen.</w:t>
      </w:r>
    </w:p>
    <w:p w14:paraId="5F0FC0E6" w14:textId="189B4ED8" w:rsidR="004027A1" w:rsidRDefault="004027A1" w:rsidP="00B0544F">
      <w:pPr>
        <w:rPr>
          <w:rFonts w:ascii="DIN-Regular" w:hAnsi="DIN-Regular" w:cs="Helv"/>
          <w:color w:val="000000"/>
          <w:sz w:val="20"/>
          <w:lang w:val="de-DE"/>
        </w:rPr>
      </w:pPr>
    </w:p>
    <w:p w14:paraId="011609EC" w14:textId="77777777" w:rsidR="00A96847" w:rsidRPr="002C3C89" w:rsidRDefault="00A96847" w:rsidP="00A96847">
      <w:pPr>
        <w:pStyle w:val="Textkrper3"/>
        <w:tabs>
          <w:tab w:val="left" w:pos="1096"/>
        </w:tabs>
        <w:spacing w:line="240" w:lineRule="auto"/>
        <w:ind w:right="-198"/>
        <w:rPr>
          <w:rFonts w:ascii="DIN-Bold" w:hAnsi="DIN-Bold"/>
          <w:b w:val="0"/>
          <w:bCs/>
          <w:lang w:val="de-DE"/>
        </w:rPr>
      </w:pPr>
      <w:r w:rsidRPr="002C3C89">
        <w:rPr>
          <w:rFonts w:ascii="DIN-Bold" w:hAnsi="DIN-Bold"/>
          <w:b w:val="0"/>
          <w:bCs/>
          <w:lang w:val="de-DE"/>
        </w:rPr>
        <w:t>Atemberaubendes Spielerlebnis</w:t>
      </w:r>
    </w:p>
    <w:p w14:paraId="6A1974AA" w14:textId="153513B5" w:rsidR="00083F46" w:rsidRPr="002C3C89" w:rsidRDefault="008C3846" w:rsidP="00083F46">
      <w:pPr>
        <w:rPr>
          <w:rFonts w:ascii="DIN Pro" w:hAnsi="DIN Pro"/>
          <w:bCs/>
          <w:sz w:val="20"/>
          <w:lang w:val="de-DE"/>
        </w:rPr>
      </w:pPr>
      <w:r w:rsidRPr="002C3C89">
        <w:rPr>
          <w:rFonts w:ascii="DIN Pro" w:hAnsi="DIN Pro"/>
          <w:bCs/>
          <w:sz w:val="20"/>
          <w:lang w:val="de-DE"/>
        </w:rPr>
        <w:t xml:space="preserve">OLED-TVs von Panasonic sind die idealen Partner für Gamer. </w:t>
      </w:r>
      <w:r w:rsidR="00083F46" w:rsidRPr="002C3C89">
        <w:rPr>
          <w:rFonts w:ascii="DIN Pro" w:hAnsi="DIN Pro"/>
          <w:bCs/>
          <w:sz w:val="20"/>
          <w:lang w:val="de-DE"/>
        </w:rPr>
        <w:t xml:space="preserve">Beide Modell-Reihen unterstützen HDMI 2.1 mit HFR (High Frame Rate) mit bis zu 120 Hz, womit hochauflösende Grafiken und schnelle Spiele absolut flüssig wiedergegeben werden. VRR (Variable Refresh Rate) sorgt für die perfekte Kombination von Fernseher mit Spielekonsolen oder PC, indem die Bildrate synchronisiert wird. AMD </w:t>
      </w:r>
      <w:proofErr w:type="spellStart"/>
      <w:r w:rsidR="00083F46" w:rsidRPr="002C3C89">
        <w:rPr>
          <w:rFonts w:ascii="DIN Pro" w:hAnsi="DIN Pro"/>
          <w:bCs/>
          <w:sz w:val="20"/>
          <w:lang w:val="de-DE"/>
        </w:rPr>
        <w:t>Freesync</w:t>
      </w:r>
      <w:proofErr w:type="spellEnd"/>
      <w:r w:rsidR="00083F46" w:rsidRPr="002C3C89">
        <w:rPr>
          <w:rFonts w:ascii="DIN Pro" w:hAnsi="DIN Pro"/>
          <w:bCs/>
          <w:sz w:val="20"/>
          <w:lang w:val="de-DE"/>
        </w:rPr>
        <w:t xml:space="preserve"> Premium garantiert darüber hinaus flüssige Grafiken mit hohen Dynamikumfang ohne Verzerrungen, Latenzen oder Ruckeln.</w:t>
      </w:r>
      <w:r w:rsidR="004F57F4" w:rsidRPr="002C3C89">
        <w:rPr>
          <w:rFonts w:ascii="DIN Pro" w:hAnsi="DIN Pro"/>
          <w:bCs/>
          <w:sz w:val="20"/>
          <w:lang w:val="de-DE"/>
        </w:rPr>
        <w:t xml:space="preserve"> </w:t>
      </w:r>
      <w:r w:rsidR="00083F46" w:rsidRPr="002C3C89">
        <w:rPr>
          <w:rFonts w:ascii="DIN Pro" w:hAnsi="DIN Pro"/>
          <w:bCs/>
          <w:sz w:val="20"/>
          <w:lang w:val="de-DE"/>
        </w:rPr>
        <w:t>Die deutlich verringerte Latenzzeit, durch die der Gamer</w:t>
      </w:r>
      <w:r w:rsidR="004F57F4" w:rsidRPr="002C3C89">
        <w:rPr>
          <w:rFonts w:ascii="DIN Pro" w:hAnsi="DIN Pro"/>
          <w:bCs/>
          <w:sz w:val="20"/>
          <w:lang w:val="de-DE"/>
        </w:rPr>
        <w:t xml:space="preserve"> seinem Gegner immer den entscheidenden Wimpernschlag voraus ist, ist eine der Schlüsselkomponenten des „Game Mode Extreme“ von Panasonic, der in den Modellen eingesetzt wird.</w:t>
      </w:r>
      <w:r w:rsidR="00083F46" w:rsidRPr="002C3C89">
        <w:rPr>
          <w:rFonts w:ascii="DIN Pro" w:hAnsi="DIN Pro"/>
          <w:bCs/>
          <w:sz w:val="20"/>
          <w:lang w:val="de-DE"/>
        </w:rPr>
        <w:t xml:space="preserve"> </w:t>
      </w:r>
    </w:p>
    <w:p w14:paraId="0F5826F5" w14:textId="6D9D8981" w:rsidR="00083F46" w:rsidRPr="002C3C89" w:rsidRDefault="00083F46" w:rsidP="00083F46">
      <w:pPr>
        <w:rPr>
          <w:rFonts w:ascii="DIN Pro" w:hAnsi="DIN Pro"/>
          <w:bCs/>
          <w:sz w:val="20"/>
          <w:lang w:val="de-DE"/>
        </w:rPr>
      </w:pPr>
    </w:p>
    <w:p w14:paraId="546B91D4" w14:textId="77777777" w:rsidR="00A96847" w:rsidRPr="00A96847" w:rsidRDefault="00A96847" w:rsidP="00A96847">
      <w:pPr>
        <w:pStyle w:val="Textkrper3"/>
        <w:tabs>
          <w:tab w:val="left" w:pos="1096"/>
        </w:tabs>
        <w:spacing w:line="240" w:lineRule="auto"/>
        <w:ind w:right="-198"/>
        <w:rPr>
          <w:rFonts w:ascii="DIN-Regular" w:hAnsi="DIN-Regular" w:cs="Helv"/>
          <w:bCs/>
          <w:color w:val="000000"/>
          <w:lang w:val="de-DE"/>
        </w:rPr>
      </w:pPr>
      <w:r w:rsidRPr="00A96847">
        <w:rPr>
          <w:rFonts w:ascii="DIN-Regular" w:hAnsi="DIN-Regular" w:cs="Helv"/>
          <w:bCs/>
          <w:color w:val="000000"/>
          <w:lang w:val="de-DE"/>
        </w:rPr>
        <w:t xml:space="preserve">Raumfüllender Klang mit 360° </w:t>
      </w:r>
      <w:proofErr w:type="spellStart"/>
      <w:r w:rsidRPr="00A96847">
        <w:rPr>
          <w:rFonts w:ascii="DIN-Regular" w:hAnsi="DIN-Regular" w:cs="Helv"/>
          <w:bCs/>
          <w:color w:val="000000"/>
          <w:lang w:val="de-DE"/>
        </w:rPr>
        <w:t>Soundscape</w:t>
      </w:r>
      <w:proofErr w:type="spellEnd"/>
      <w:r w:rsidRPr="00A96847">
        <w:rPr>
          <w:rFonts w:ascii="DIN-Regular" w:hAnsi="DIN-Regular" w:cs="Helv"/>
          <w:bCs/>
          <w:color w:val="000000"/>
          <w:lang w:val="de-DE"/>
        </w:rPr>
        <w:t xml:space="preserve"> Pro und Dolby Atmos</w:t>
      </w:r>
    </w:p>
    <w:p w14:paraId="54C8BFD7" w14:textId="06AFF909" w:rsidR="00A96847" w:rsidRDefault="00A96847" w:rsidP="00A96847">
      <w:pPr>
        <w:ind w:right="13"/>
        <w:rPr>
          <w:rFonts w:ascii="DIN-Regular" w:hAnsi="DIN-Regular" w:cs="Helv"/>
          <w:color w:val="000000"/>
          <w:sz w:val="20"/>
          <w:lang w:val="de-DE"/>
        </w:rPr>
      </w:pPr>
      <w:r w:rsidRPr="00A96847">
        <w:rPr>
          <w:rFonts w:ascii="DIN-Regular" w:hAnsi="DIN-Regular" w:cs="Helv"/>
          <w:color w:val="000000"/>
          <w:sz w:val="20"/>
          <w:lang w:val="de-DE"/>
        </w:rPr>
        <w:t xml:space="preserve">Neben der überragenden Bildqualität setzt der </w:t>
      </w:r>
      <w:r w:rsidR="002C3C89">
        <w:rPr>
          <w:rFonts w:ascii="DIN-Regular" w:hAnsi="DIN-Regular" w:cs="Helv"/>
          <w:color w:val="000000"/>
          <w:sz w:val="20"/>
          <w:lang w:val="de-DE"/>
        </w:rPr>
        <w:t>JZC</w:t>
      </w:r>
      <w:r w:rsidRPr="00A96847">
        <w:rPr>
          <w:rFonts w:ascii="DIN-Regular" w:hAnsi="DIN-Regular" w:cs="Helv"/>
          <w:color w:val="000000"/>
          <w:sz w:val="20"/>
          <w:lang w:val="de-DE"/>
        </w:rPr>
        <w:t xml:space="preserve">2004 neue </w:t>
      </w:r>
      <w:proofErr w:type="spellStart"/>
      <w:r w:rsidRPr="00A96847">
        <w:rPr>
          <w:rFonts w:ascii="DIN-Regular" w:hAnsi="DIN-Regular" w:cs="Helv"/>
          <w:color w:val="000000"/>
          <w:sz w:val="20"/>
          <w:lang w:val="de-DE"/>
        </w:rPr>
        <w:t>Ma</w:t>
      </w:r>
      <w:r w:rsidR="00E0607B">
        <w:rPr>
          <w:rFonts w:ascii="DIN-Regular" w:hAnsi="DIN-Regular" w:cs="Helv"/>
          <w:color w:val="000000"/>
          <w:sz w:val="20"/>
          <w:lang w:val="de-DE"/>
        </w:rPr>
        <w:t>ss</w:t>
      </w:r>
      <w:r w:rsidRPr="00A96847">
        <w:rPr>
          <w:rFonts w:ascii="DIN-Regular" w:hAnsi="DIN-Regular" w:cs="Helv"/>
          <w:color w:val="000000"/>
          <w:sz w:val="20"/>
          <w:lang w:val="de-DE"/>
        </w:rPr>
        <w:t>stäbe</w:t>
      </w:r>
      <w:proofErr w:type="spellEnd"/>
      <w:r w:rsidRPr="00A96847">
        <w:rPr>
          <w:rFonts w:ascii="DIN-Regular" w:hAnsi="DIN-Regular" w:cs="Helv"/>
          <w:color w:val="000000"/>
          <w:sz w:val="20"/>
          <w:lang w:val="de-DE"/>
        </w:rPr>
        <w:t xml:space="preserve"> bei der Klangperformance. Der Zuschauer wird eingehüllt in eine atemberaubende </w:t>
      </w:r>
      <w:proofErr w:type="spellStart"/>
      <w:r w:rsidRPr="00A96847">
        <w:rPr>
          <w:rFonts w:ascii="DIN-Regular" w:hAnsi="DIN-Regular" w:cs="Helv"/>
          <w:color w:val="000000"/>
          <w:sz w:val="20"/>
          <w:lang w:val="de-DE"/>
        </w:rPr>
        <w:t>Klangkulissse</w:t>
      </w:r>
      <w:proofErr w:type="spellEnd"/>
      <w:r w:rsidRPr="00A96847">
        <w:rPr>
          <w:rFonts w:ascii="DIN-Regular" w:hAnsi="DIN-Regular" w:cs="Helv"/>
          <w:color w:val="000000"/>
          <w:sz w:val="20"/>
          <w:lang w:val="de-DE"/>
        </w:rPr>
        <w:t xml:space="preserve">, für die neben den Front- und nach oben abstrahlenden Lautsprechern zur Seite gerichtete Speaker verantwortlich sind. 360° </w:t>
      </w:r>
      <w:proofErr w:type="spellStart"/>
      <w:r w:rsidRPr="00A96847">
        <w:rPr>
          <w:rFonts w:ascii="DIN-Regular" w:hAnsi="DIN-Regular" w:cs="Helv"/>
          <w:color w:val="000000"/>
          <w:sz w:val="20"/>
          <w:lang w:val="de-DE"/>
        </w:rPr>
        <w:t>Soundscape</w:t>
      </w:r>
      <w:proofErr w:type="spellEnd"/>
      <w:r w:rsidRPr="00A96847">
        <w:rPr>
          <w:rFonts w:ascii="DIN-Regular" w:hAnsi="DIN-Regular" w:cs="Helv"/>
          <w:color w:val="000000"/>
          <w:sz w:val="20"/>
          <w:lang w:val="de-DE"/>
        </w:rPr>
        <w:t xml:space="preserve"> Pro und Dolby Atmos versetzen den Zuschauer mitten ins Geschehen des Films oder des Spiels und bieten eine realistische, raumfüllende Klangbühne, wie sie bisher mit keinem Fernsehgerät möglich war.</w:t>
      </w:r>
      <w:r>
        <w:rPr>
          <w:rFonts w:ascii="DIN-Regular" w:hAnsi="DIN-Regular" w:cs="Helv"/>
          <w:color w:val="000000"/>
          <w:sz w:val="20"/>
          <w:lang w:val="de-DE"/>
        </w:rPr>
        <w:br/>
      </w:r>
    </w:p>
    <w:p w14:paraId="7C39C7D7" w14:textId="74BB28B2" w:rsidR="00A96847" w:rsidRPr="001C144F" w:rsidRDefault="00A96847" w:rsidP="00A96847">
      <w:pPr>
        <w:pStyle w:val="NurText"/>
        <w:outlineLvl w:val="0"/>
        <w:rPr>
          <w:rFonts w:ascii="DIN-Regular" w:hAnsi="DIN-Regular"/>
        </w:rPr>
      </w:pPr>
      <w:r w:rsidRPr="00A96847">
        <w:rPr>
          <w:rFonts w:ascii="DIN-Regular" w:hAnsi="DIN-Regular" w:cs="Helv"/>
          <w:b/>
          <w:bCs/>
          <w:color w:val="000000"/>
        </w:rPr>
        <w:t>Filmmaker-Mode</w:t>
      </w:r>
      <w:r>
        <w:rPr>
          <w:rFonts w:ascii="DIN-Regular" w:hAnsi="DIN-Regular" w:cs="Helv"/>
          <w:color w:val="000000"/>
        </w:rPr>
        <w:br/>
      </w:r>
      <w:r w:rsidRPr="001C144F">
        <w:rPr>
          <w:rFonts w:ascii="DIN-Regular" w:hAnsi="DIN-Regular"/>
        </w:rPr>
        <w:t xml:space="preserve">Das UHD Master HDR OLED-Panel des </w:t>
      </w:r>
      <w:r w:rsidR="002C3C89">
        <w:rPr>
          <w:rFonts w:ascii="DIN-Regular" w:hAnsi="DIN-Regular"/>
        </w:rPr>
        <w:t>JZC</w:t>
      </w:r>
      <w:r w:rsidRPr="001C144F">
        <w:rPr>
          <w:rFonts w:ascii="DIN-Regular" w:hAnsi="DIN-Regular"/>
        </w:rPr>
        <w:t>1004 setzt selbst feinste Details und Abstufungen auch in dunkelsten Bereichen genauso perfekt in Szene wie das glei</w:t>
      </w:r>
      <w:r w:rsidR="00E0607B">
        <w:rPr>
          <w:rFonts w:ascii="DIN-Regular" w:hAnsi="DIN-Regular"/>
        </w:rPr>
        <w:t>ss</w:t>
      </w:r>
      <w:r w:rsidRPr="001C144F">
        <w:rPr>
          <w:rFonts w:ascii="DIN-Regular" w:hAnsi="DIN-Regular"/>
        </w:rPr>
        <w:t>ende Licht eines Sonnenuntergangs. Wird der von der UHD-Allianz entwickelte Filmmaker-Mode aktiviert, werden die Bildfrequenz, das Seitenverhältnis sowie Farbe und Kontrast des Originals übernommen. Schärfeoptimierungen und Rauschunterdrückungen werden abgeschaltet – alles mit dem Ziel, Filme und Serien auch zu Hause so zu zeigen, wie es sich die Regisseure und Produzenten schon beim Filmdreh gedacht haben.</w:t>
      </w:r>
    </w:p>
    <w:p w14:paraId="7ABD8A32" w14:textId="32548F18" w:rsidR="00A96847" w:rsidRDefault="00A96847" w:rsidP="00A96847">
      <w:pPr>
        <w:ind w:right="13"/>
        <w:rPr>
          <w:rFonts w:ascii="DIN-Regular" w:hAnsi="DIN-Regular" w:cs="Helv"/>
          <w:color w:val="000000"/>
          <w:sz w:val="20"/>
          <w:lang w:val="de-DE"/>
        </w:rPr>
      </w:pPr>
      <w:r>
        <w:rPr>
          <w:rFonts w:ascii="DIN-Regular" w:hAnsi="DIN-Regular" w:cs="Helv"/>
          <w:color w:val="000000"/>
          <w:sz w:val="20"/>
          <w:lang w:val="de-DE"/>
        </w:rPr>
        <w:br/>
      </w:r>
      <w:r w:rsidRPr="00A96847">
        <w:rPr>
          <w:rFonts w:ascii="DIN-Regular" w:hAnsi="DIN-Regular" w:cs="Wingdings 2"/>
          <w:b/>
          <w:bCs/>
          <w:noProof/>
          <w:sz w:val="20"/>
          <w:lang w:val="de-DE" w:eastAsia="de-DE"/>
        </w:rPr>
        <w:t>Auto AI-Modus</w:t>
      </w:r>
      <w:r w:rsidRPr="00A96847">
        <w:rPr>
          <w:rFonts w:ascii="DIN-Regular" w:hAnsi="DIN-Regular" w:cs="Wingdings 2"/>
          <w:noProof/>
          <w:sz w:val="20"/>
          <w:lang w:val="de-DE" w:eastAsia="de-DE"/>
        </w:rPr>
        <w:br/>
        <w:t>Der Auto AI-Modus vergleicht den gerade gezeigten Inhalt mit gespeicherten Referenzszenen, um aufgrund dieser Erfahrung die Bildeinstellung zu verbessern. So werden beispielsweise bei einem Fu</w:t>
      </w:r>
      <w:r w:rsidR="00E0607B">
        <w:rPr>
          <w:rFonts w:ascii="DIN-Regular" w:hAnsi="DIN-Regular" w:cs="Wingdings 2"/>
          <w:noProof/>
          <w:sz w:val="20"/>
          <w:lang w:val="de-DE" w:eastAsia="de-DE"/>
        </w:rPr>
        <w:t>ss</w:t>
      </w:r>
      <w:r w:rsidRPr="00A96847">
        <w:rPr>
          <w:rFonts w:ascii="DIN-Regular" w:hAnsi="DIN-Regular" w:cs="Wingdings 2"/>
          <w:noProof/>
          <w:sz w:val="20"/>
          <w:lang w:val="de-DE" w:eastAsia="de-DE"/>
        </w:rPr>
        <w:t xml:space="preserve">ballspiel die Bildparameter so optimiert, dass der Rasen natürlicher und die Spieler lebensechter gezeigt werden. Um dies zu realisieren, hat Panasonic über einen langen Zeitraum mehr als eine Million </w:t>
      </w:r>
      <w:r w:rsidR="004F57F4">
        <w:rPr>
          <w:rFonts w:ascii="DIN-Regular" w:hAnsi="DIN-Regular" w:cs="Wingdings 2"/>
          <w:noProof/>
          <w:sz w:val="20"/>
          <w:lang w:val="de-DE" w:eastAsia="de-DE"/>
        </w:rPr>
        <w:t>S</w:t>
      </w:r>
      <w:r w:rsidRPr="00A96847">
        <w:rPr>
          <w:rFonts w:ascii="DIN-Regular" w:hAnsi="DIN-Regular" w:cs="Wingdings 2"/>
          <w:noProof/>
          <w:sz w:val="20"/>
          <w:lang w:val="de-DE" w:eastAsia="de-DE"/>
        </w:rPr>
        <w:t>zenen unterschiedlichster Genres analysiert und als Referenz gespeichert.</w:t>
      </w:r>
      <w:r w:rsidRPr="00A96847">
        <w:rPr>
          <w:rFonts w:ascii="DIN-Regular" w:hAnsi="DIN-Regular" w:cs="Wingdings 2"/>
          <w:noProof/>
          <w:sz w:val="20"/>
          <w:lang w:val="de-DE" w:eastAsia="de-DE"/>
        </w:rPr>
        <w:br/>
      </w:r>
      <w:r>
        <w:rPr>
          <w:rFonts w:ascii="DIN-Regular" w:hAnsi="DIN-Regular" w:cs="Helv"/>
          <w:color w:val="000000"/>
          <w:sz w:val="20"/>
          <w:lang w:val="de-DE"/>
        </w:rPr>
        <w:br/>
      </w:r>
      <w:r w:rsidRPr="005E3BB8">
        <w:rPr>
          <w:rFonts w:ascii="DIN-Regular" w:hAnsi="DIN-Regular" w:cs="Helv"/>
          <w:b/>
          <w:bCs/>
          <w:color w:val="000000"/>
          <w:sz w:val="20"/>
          <w:lang w:val="de-DE"/>
        </w:rPr>
        <w:t>Preise und Verfügbarkeit</w:t>
      </w:r>
      <w:r>
        <w:rPr>
          <w:rFonts w:ascii="DIN-Regular" w:hAnsi="DIN-Regular" w:cs="Helv"/>
          <w:color w:val="000000"/>
          <w:sz w:val="20"/>
          <w:lang w:val="de-DE"/>
        </w:rPr>
        <w:br/>
      </w:r>
      <w:r w:rsidR="00D94F7B">
        <w:rPr>
          <w:rFonts w:ascii="DIN-Regular" w:hAnsi="DIN-Regular" w:cs="Helv"/>
          <w:color w:val="000000"/>
          <w:sz w:val="20"/>
          <w:lang w:val="de-DE"/>
        </w:rPr>
        <w:t xml:space="preserve">Die neuen Panasonic OLED TV-Modellreihen </w:t>
      </w:r>
      <w:r w:rsidR="002C3C89">
        <w:rPr>
          <w:rFonts w:ascii="DIN-Regular" w:hAnsi="DIN-Regular" w:cs="Helv"/>
          <w:color w:val="000000"/>
          <w:sz w:val="20"/>
          <w:lang w:val="de-DE"/>
        </w:rPr>
        <w:t>JZC</w:t>
      </w:r>
      <w:r w:rsidR="00F61299">
        <w:rPr>
          <w:rFonts w:ascii="DIN-Regular" w:hAnsi="DIN-Regular" w:cs="Helv"/>
          <w:color w:val="000000"/>
          <w:sz w:val="20"/>
          <w:lang w:val="de-DE"/>
        </w:rPr>
        <w:t xml:space="preserve">2004 </w:t>
      </w:r>
      <w:r w:rsidR="00D94F7B">
        <w:rPr>
          <w:rFonts w:ascii="DIN-Regular" w:hAnsi="DIN-Regular" w:cs="Helv"/>
          <w:color w:val="000000"/>
          <w:sz w:val="20"/>
          <w:lang w:val="de-DE"/>
        </w:rPr>
        <w:t xml:space="preserve">und </w:t>
      </w:r>
      <w:r w:rsidR="002C3C89">
        <w:rPr>
          <w:rFonts w:ascii="DIN-Regular" w:hAnsi="DIN-Regular" w:cs="Helv"/>
          <w:color w:val="000000"/>
          <w:sz w:val="20"/>
          <w:lang w:val="de-DE"/>
        </w:rPr>
        <w:t>JZC</w:t>
      </w:r>
      <w:r w:rsidR="00F61299">
        <w:rPr>
          <w:rFonts w:ascii="DIN-Regular" w:hAnsi="DIN-Regular" w:cs="Helv"/>
          <w:color w:val="000000"/>
          <w:sz w:val="20"/>
          <w:lang w:val="de-DE"/>
        </w:rPr>
        <w:t xml:space="preserve">1004 </w:t>
      </w:r>
      <w:r w:rsidR="00D94F7B">
        <w:rPr>
          <w:rFonts w:ascii="DIN-Regular" w:hAnsi="DIN-Regular" w:cs="Helv"/>
          <w:color w:val="000000"/>
          <w:sz w:val="20"/>
          <w:lang w:val="de-DE"/>
        </w:rPr>
        <w:t xml:space="preserve">werden </w:t>
      </w:r>
      <w:r w:rsidR="007A5A4F">
        <w:rPr>
          <w:rFonts w:ascii="DIN-Regular" w:hAnsi="DIN-Regular" w:cs="Helv"/>
          <w:color w:val="000000"/>
          <w:sz w:val="20"/>
          <w:lang w:val="de-DE"/>
        </w:rPr>
        <w:t>wie folgt</w:t>
      </w:r>
      <w:r w:rsidR="00F0174F">
        <w:rPr>
          <w:rFonts w:ascii="DIN-Regular" w:hAnsi="DIN-Regular" w:cs="Helv"/>
          <w:color w:val="000000"/>
          <w:sz w:val="20"/>
          <w:lang w:val="de-DE"/>
        </w:rPr>
        <w:t xml:space="preserve"> </w:t>
      </w:r>
      <w:r w:rsidR="004449EB">
        <w:rPr>
          <w:rFonts w:ascii="DIN-Regular" w:hAnsi="DIN-Regular" w:cs="Helv"/>
          <w:color w:val="000000"/>
          <w:sz w:val="20"/>
          <w:lang w:val="de-DE"/>
        </w:rPr>
        <w:t xml:space="preserve">zu folgenden Preisen </w:t>
      </w:r>
      <w:r w:rsidR="001A2A49">
        <w:rPr>
          <w:rFonts w:ascii="DIN-Regular" w:hAnsi="DIN-Regular" w:cs="Helv"/>
          <w:color w:val="000000"/>
          <w:sz w:val="20"/>
          <w:lang w:val="de-DE"/>
        </w:rPr>
        <w:t xml:space="preserve">im Handel </w:t>
      </w:r>
      <w:r w:rsidR="00D94F7B">
        <w:rPr>
          <w:rFonts w:ascii="DIN-Regular" w:hAnsi="DIN-Regular" w:cs="Helv"/>
          <w:color w:val="000000"/>
          <w:sz w:val="20"/>
          <w:lang w:val="de-DE"/>
        </w:rPr>
        <w:t xml:space="preserve">erhältlich sein: </w:t>
      </w:r>
    </w:p>
    <w:p w14:paraId="065E740A" w14:textId="77777777" w:rsidR="00D94F7B" w:rsidRDefault="00D94F7B" w:rsidP="00A96847">
      <w:pPr>
        <w:ind w:right="13"/>
        <w:rPr>
          <w:rFonts w:ascii="DIN-Regular" w:hAnsi="DIN-Regular" w:cs="Helv"/>
          <w:color w:val="000000"/>
          <w:sz w:val="20"/>
          <w:lang w:val="de-DE"/>
        </w:rPr>
      </w:pPr>
    </w:p>
    <w:p w14:paraId="644B5D5D" w14:textId="60CF0C50" w:rsidR="007A5A4F" w:rsidRDefault="007A5A4F" w:rsidP="007A5A4F">
      <w:pPr>
        <w:rPr>
          <w:rFonts w:ascii="DIN-Regular" w:hAnsi="DIN-Regular" w:cs="Helv"/>
          <w:color w:val="000000"/>
          <w:sz w:val="20"/>
          <w:lang w:val="de-DE"/>
        </w:rPr>
      </w:pPr>
      <w:r w:rsidRPr="007A5A4F">
        <w:rPr>
          <w:rFonts w:ascii="DIN-Regular" w:hAnsi="DIN-Regular" w:cs="Helv"/>
          <w:color w:val="000000"/>
          <w:sz w:val="20"/>
          <w:lang w:val="de-DE"/>
        </w:rPr>
        <w:t>TX-65JZC2004:</w:t>
      </w:r>
      <w:r>
        <w:rPr>
          <w:rFonts w:ascii="DIN-Regular" w:hAnsi="DIN-Regular" w:cs="Helv"/>
          <w:color w:val="000000"/>
          <w:sz w:val="20"/>
          <w:lang w:val="de-DE"/>
        </w:rPr>
        <w:tab/>
      </w:r>
      <w:r w:rsidRPr="007A5A4F">
        <w:rPr>
          <w:rFonts w:ascii="DIN-Regular" w:hAnsi="DIN-Regular" w:cs="Helv"/>
          <w:color w:val="000000"/>
          <w:sz w:val="20"/>
          <w:lang w:val="de-DE"/>
        </w:rPr>
        <w:t>Fr. 4‘417.00 (inkl. MwSt./</w:t>
      </w:r>
      <w:proofErr w:type="spellStart"/>
      <w:r w:rsidRPr="007A5A4F">
        <w:rPr>
          <w:rFonts w:ascii="DIN-Regular" w:hAnsi="DIN-Regular" w:cs="Helv"/>
          <w:color w:val="000000"/>
          <w:sz w:val="20"/>
          <w:lang w:val="de-DE"/>
        </w:rPr>
        <w:t>vRG</w:t>
      </w:r>
      <w:proofErr w:type="spellEnd"/>
      <w:r w:rsidRPr="007A5A4F">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Juli</w:t>
      </w:r>
      <w:r>
        <w:rPr>
          <w:rFonts w:ascii="DIN-Regular" w:hAnsi="DIN-Regular" w:cs="Helv"/>
          <w:color w:val="000000"/>
          <w:sz w:val="20"/>
          <w:lang w:val="de-DE"/>
        </w:rPr>
        <w:br/>
      </w:r>
      <w:r w:rsidRPr="007A5A4F">
        <w:rPr>
          <w:rFonts w:ascii="DIN-Regular" w:hAnsi="DIN-Regular" w:cs="Helv"/>
          <w:color w:val="000000"/>
          <w:sz w:val="20"/>
          <w:lang w:val="de-DE"/>
        </w:rPr>
        <w:t>TX-55JZC2004:</w:t>
      </w:r>
      <w:r>
        <w:rPr>
          <w:rFonts w:ascii="DIN-Regular" w:hAnsi="DIN-Regular" w:cs="Helv"/>
          <w:color w:val="000000"/>
          <w:sz w:val="20"/>
          <w:lang w:val="de-DE"/>
        </w:rPr>
        <w:tab/>
      </w:r>
      <w:r w:rsidRPr="007A5A4F">
        <w:rPr>
          <w:rFonts w:ascii="DIN-Regular" w:hAnsi="DIN-Regular" w:cs="Helv"/>
          <w:color w:val="000000"/>
          <w:sz w:val="20"/>
          <w:lang w:val="de-DE"/>
        </w:rPr>
        <w:t>Fr. 3‘517.00 (inkl. MwSt./</w:t>
      </w:r>
      <w:proofErr w:type="spellStart"/>
      <w:r w:rsidRPr="007A5A4F">
        <w:rPr>
          <w:rFonts w:ascii="DIN-Regular" w:hAnsi="DIN-Regular" w:cs="Helv"/>
          <w:color w:val="000000"/>
          <w:sz w:val="20"/>
          <w:lang w:val="de-DE"/>
        </w:rPr>
        <w:t>vRG</w:t>
      </w:r>
      <w:proofErr w:type="spellEnd"/>
      <w:r w:rsidRPr="007A5A4F">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Juli</w:t>
      </w:r>
    </w:p>
    <w:p w14:paraId="7C01D2DA" w14:textId="77777777" w:rsidR="007A5A4F" w:rsidRDefault="007A5A4F" w:rsidP="007A5A4F">
      <w:pPr>
        <w:rPr>
          <w:rFonts w:ascii="DIN-Regular" w:hAnsi="DIN-Regular" w:cs="Helv"/>
          <w:color w:val="000000"/>
          <w:sz w:val="20"/>
          <w:lang w:val="de-DE"/>
        </w:rPr>
      </w:pPr>
    </w:p>
    <w:p w14:paraId="4E741F47" w14:textId="4ADC2EF2" w:rsidR="007A5A4F" w:rsidRPr="007A5A4F" w:rsidRDefault="007A5A4F" w:rsidP="007A5A4F">
      <w:pPr>
        <w:rPr>
          <w:rFonts w:ascii="DIN-Regular" w:hAnsi="DIN-Regular" w:cs="Helv"/>
          <w:color w:val="000000"/>
          <w:sz w:val="20"/>
          <w:lang w:val="de-DE"/>
        </w:rPr>
      </w:pPr>
      <w:r w:rsidRPr="007A5A4F">
        <w:rPr>
          <w:rFonts w:ascii="DIN-Regular" w:hAnsi="DIN-Regular" w:cs="Helv"/>
          <w:color w:val="000000"/>
          <w:sz w:val="20"/>
          <w:lang w:val="de-DE"/>
        </w:rPr>
        <w:t>TX-65JZC1004</w:t>
      </w:r>
      <w:r>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Fr. 3‘217.00 (inkl. MwSt./</w:t>
      </w:r>
      <w:proofErr w:type="spellStart"/>
      <w:r w:rsidRPr="007A5A4F">
        <w:rPr>
          <w:rFonts w:ascii="DIN-Regular" w:hAnsi="DIN-Regular" w:cs="Helv"/>
          <w:color w:val="000000"/>
          <w:sz w:val="20"/>
          <w:lang w:val="de-DE"/>
        </w:rPr>
        <w:t>vRG</w:t>
      </w:r>
      <w:proofErr w:type="spellEnd"/>
      <w:r w:rsidRPr="007A5A4F">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August</w:t>
      </w:r>
    </w:p>
    <w:p w14:paraId="57E0C726" w14:textId="7F86C787" w:rsidR="007A5A4F" w:rsidRPr="007A5A4F" w:rsidRDefault="007A5A4F" w:rsidP="007A5A4F">
      <w:pPr>
        <w:rPr>
          <w:rFonts w:ascii="DIN-Regular" w:hAnsi="DIN-Regular" w:cs="Helv"/>
          <w:color w:val="000000"/>
          <w:sz w:val="20"/>
          <w:lang w:val="de-DE"/>
        </w:rPr>
      </w:pPr>
      <w:r w:rsidRPr="007A5A4F">
        <w:rPr>
          <w:rFonts w:ascii="DIN-Regular" w:hAnsi="DIN-Regular" w:cs="Helv"/>
          <w:color w:val="000000"/>
          <w:sz w:val="20"/>
          <w:lang w:val="de-DE"/>
        </w:rPr>
        <w:t>TX-55JZC1004:</w:t>
      </w:r>
      <w:r>
        <w:rPr>
          <w:rFonts w:ascii="DIN-Regular" w:hAnsi="DIN-Regular" w:cs="Helv"/>
          <w:color w:val="000000"/>
          <w:sz w:val="20"/>
          <w:lang w:val="de-DE"/>
        </w:rPr>
        <w:tab/>
      </w:r>
      <w:r w:rsidRPr="007A5A4F">
        <w:rPr>
          <w:rFonts w:ascii="DIN-Regular" w:hAnsi="DIN-Regular" w:cs="Helv"/>
          <w:color w:val="000000"/>
          <w:sz w:val="20"/>
          <w:lang w:val="de-DE"/>
        </w:rPr>
        <w:t>Fr. 2‘417.00 (inkl. MwSt./</w:t>
      </w:r>
      <w:proofErr w:type="spellStart"/>
      <w:r w:rsidRPr="007A5A4F">
        <w:rPr>
          <w:rFonts w:ascii="DIN-Regular" w:hAnsi="DIN-Regular" w:cs="Helv"/>
          <w:color w:val="000000"/>
          <w:sz w:val="20"/>
          <w:lang w:val="de-DE"/>
        </w:rPr>
        <w:t>vRG</w:t>
      </w:r>
      <w:proofErr w:type="spellEnd"/>
      <w:r w:rsidRPr="007A5A4F">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Juli</w:t>
      </w:r>
    </w:p>
    <w:p w14:paraId="6544ED45" w14:textId="7D85C934" w:rsidR="007A5A4F" w:rsidRPr="007A5A4F" w:rsidRDefault="007A5A4F" w:rsidP="007A5A4F">
      <w:pPr>
        <w:rPr>
          <w:rFonts w:ascii="DIN-Regular" w:hAnsi="DIN-Regular" w:cs="Helv"/>
          <w:color w:val="000000"/>
          <w:sz w:val="20"/>
          <w:lang w:val="de-DE"/>
        </w:rPr>
      </w:pPr>
      <w:r w:rsidRPr="007A5A4F">
        <w:rPr>
          <w:rFonts w:ascii="DIN-Regular" w:hAnsi="DIN-Regular" w:cs="Helv"/>
          <w:color w:val="000000"/>
          <w:sz w:val="20"/>
          <w:lang w:val="de-DE"/>
        </w:rPr>
        <w:t>TX-48JZC1004:</w:t>
      </w:r>
      <w:r>
        <w:rPr>
          <w:rFonts w:ascii="DIN-Regular" w:hAnsi="DIN-Regular" w:cs="Helv"/>
          <w:color w:val="000000"/>
          <w:sz w:val="20"/>
          <w:lang w:val="de-DE"/>
        </w:rPr>
        <w:tab/>
      </w:r>
      <w:r w:rsidRPr="007A5A4F">
        <w:rPr>
          <w:rFonts w:ascii="DIN-Regular" w:hAnsi="DIN-Regular" w:cs="Helv"/>
          <w:color w:val="000000"/>
          <w:sz w:val="20"/>
          <w:lang w:val="de-DE"/>
        </w:rPr>
        <w:t>Fr. 2‘217.00 (inkl. MwSt./</w:t>
      </w:r>
      <w:proofErr w:type="spellStart"/>
      <w:r w:rsidRPr="007A5A4F">
        <w:rPr>
          <w:rFonts w:ascii="DIN-Regular" w:hAnsi="DIN-Regular" w:cs="Helv"/>
          <w:color w:val="000000"/>
          <w:sz w:val="20"/>
          <w:lang w:val="de-DE"/>
        </w:rPr>
        <w:t>vRG</w:t>
      </w:r>
      <w:proofErr w:type="spellEnd"/>
      <w:r w:rsidRPr="007A5A4F">
        <w:rPr>
          <w:rFonts w:ascii="DIN-Regular" w:hAnsi="DIN-Regular" w:cs="Helv"/>
          <w:color w:val="000000"/>
          <w:sz w:val="20"/>
          <w:lang w:val="de-DE"/>
        </w:rPr>
        <w:t>)</w:t>
      </w:r>
      <w:r>
        <w:rPr>
          <w:rFonts w:ascii="DIN-Regular" w:hAnsi="DIN-Regular" w:cs="Helv"/>
          <w:color w:val="000000"/>
          <w:sz w:val="20"/>
          <w:lang w:val="de-DE"/>
        </w:rPr>
        <w:tab/>
      </w:r>
      <w:r w:rsidRPr="007A5A4F">
        <w:rPr>
          <w:rFonts w:ascii="DIN-Regular" w:hAnsi="DIN-Regular" w:cs="Helv"/>
          <w:color w:val="000000"/>
          <w:sz w:val="20"/>
          <w:lang w:val="de-DE"/>
        </w:rPr>
        <w:t>Juli</w:t>
      </w:r>
    </w:p>
    <w:p w14:paraId="234B55DF" w14:textId="1C2A23C1" w:rsidR="007A5A4F" w:rsidRDefault="007A5A4F" w:rsidP="00E428D7">
      <w:pPr>
        <w:ind w:right="13"/>
        <w:rPr>
          <w:rFonts w:ascii="DIN-Bold" w:hAnsi="DIN-Bold" w:cs="Arial"/>
          <w:b/>
          <w:color w:val="000000"/>
          <w:sz w:val="20"/>
          <w:u w:val="single"/>
          <w:lang w:val="de-DE"/>
        </w:rPr>
      </w:pPr>
    </w:p>
    <w:p w14:paraId="17AA717E" w14:textId="77777777" w:rsidR="007A5A4F" w:rsidRDefault="007A5A4F" w:rsidP="00E428D7">
      <w:pPr>
        <w:ind w:right="13"/>
        <w:rPr>
          <w:rFonts w:ascii="DIN-Bold" w:hAnsi="DIN-Bold" w:cs="Arial"/>
          <w:b/>
          <w:color w:val="000000"/>
          <w:sz w:val="20"/>
          <w:u w:val="single"/>
          <w:lang w:val="de-DE"/>
        </w:rPr>
      </w:pPr>
    </w:p>
    <w:p w14:paraId="07401C21" w14:textId="6D02E656" w:rsidR="00E428D7" w:rsidRPr="002C3C89" w:rsidRDefault="00E428D7" w:rsidP="00E428D7">
      <w:pPr>
        <w:ind w:right="13"/>
        <w:rPr>
          <w:rFonts w:ascii="DIN-Bold" w:hAnsi="DIN-Bold" w:cs="Arial"/>
          <w:b/>
          <w:color w:val="000000"/>
          <w:sz w:val="20"/>
          <w:u w:val="single"/>
          <w:lang w:val="de-DE"/>
        </w:rPr>
      </w:pPr>
      <w:r w:rsidRPr="002C3C89">
        <w:rPr>
          <w:rFonts w:ascii="DIN-Bold" w:hAnsi="DIN-Bold" w:cs="Arial"/>
          <w:b/>
          <w:color w:val="000000"/>
          <w:sz w:val="20"/>
          <w:u w:val="single"/>
          <w:lang w:val="de-DE"/>
        </w:rPr>
        <w:lastRenderedPageBreak/>
        <w:t>Über Panasonic:</w:t>
      </w:r>
    </w:p>
    <w:p w14:paraId="1C871032" w14:textId="77777777" w:rsidR="002C3C89" w:rsidRPr="00FE2D85" w:rsidRDefault="002C3C89" w:rsidP="002C3C89">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3"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0C643350" w14:textId="7B11355D" w:rsidR="00D90E5F" w:rsidRDefault="00D90E5F" w:rsidP="00B04AAE">
      <w:pPr>
        <w:ind w:right="13"/>
        <w:rPr>
          <w:rFonts w:ascii="DIN-Regular" w:hAnsi="DIN-Regular" w:cs="Arial"/>
          <w:color w:val="000000"/>
          <w:sz w:val="20"/>
          <w:lang w:val="de-DE"/>
        </w:rPr>
      </w:pPr>
    </w:p>
    <w:p w14:paraId="5E391E8E" w14:textId="77777777" w:rsidR="00D90E5F" w:rsidRPr="00DA2AEB" w:rsidRDefault="00D90E5F" w:rsidP="00B04AAE">
      <w:pPr>
        <w:ind w:right="13"/>
        <w:rPr>
          <w:rFonts w:ascii="DIN-Regular" w:hAnsi="DIN-Regular" w:cs="Arial"/>
          <w:color w:val="000000"/>
          <w:sz w:val="20"/>
          <w:lang w:val="de-DE"/>
        </w:rPr>
      </w:pPr>
    </w:p>
    <w:p w14:paraId="3EF42F19" w14:textId="77777777" w:rsidR="002C3C89" w:rsidRPr="00991C5F" w:rsidRDefault="002C3C89" w:rsidP="002C3C89">
      <w:pPr>
        <w:pStyle w:val="Copy"/>
        <w:keepNext/>
        <w:keepLines/>
        <w:spacing w:line="240" w:lineRule="auto"/>
        <w:ind w:right="13"/>
        <w:rPr>
          <w:rFonts w:ascii="DIN-Bold" w:eastAsia="Times New Roman" w:hAnsi="DIN-Bold"/>
        </w:rPr>
      </w:pPr>
      <w:r w:rsidRPr="00991C5F">
        <w:rPr>
          <w:rFonts w:ascii="DIN-Bold" w:eastAsia="Times New Roman" w:hAnsi="DIN-Bold"/>
        </w:rPr>
        <w:t>Weitere Informationen:</w:t>
      </w:r>
    </w:p>
    <w:p w14:paraId="38BFA0E8" w14:textId="77777777" w:rsidR="002C3C89" w:rsidRPr="008E3399" w:rsidRDefault="002C3C89" w:rsidP="002C3C89">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4" w:history="1">
        <w:r w:rsidRPr="000975A9">
          <w:rPr>
            <w:rStyle w:val="Hyperlink"/>
            <w:rFonts w:ascii="DIN-Regular" w:hAnsi="DIN-Regular" w:cs="Arial"/>
            <w:sz w:val="20"/>
            <w:lang w:val="de-CH"/>
          </w:rPr>
          <w:t>panasonic.ch@eu.panasonic.com</w:t>
        </w:r>
      </w:hyperlink>
      <w:r w:rsidRPr="00FE2D85">
        <w:rPr>
          <w:rFonts w:ascii="DIN-Regular" w:hAnsi="DIN-Regular"/>
          <w:sz w:val="20"/>
          <w:lang w:val="de-CH"/>
        </w:rPr>
        <w:t xml:space="preserve"> </w:t>
      </w:r>
    </w:p>
    <w:p w14:paraId="5CC5E438" w14:textId="2DC6CEB1" w:rsidR="008460A2" w:rsidRPr="002C3C89" w:rsidRDefault="008460A2" w:rsidP="002C3C89">
      <w:pPr>
        <w:pStyle w:val="Copy"/>
        <w:keepNext/>
        <w:keepLines/>
        <w:spacing w:line="240" w:lineRule="auto"/>
        <w:ind w:right="13"/>
        <w:rPr>
          <w:rFonts w:ascii="DIN-Regular" w:hAnsi="DIN-Regular"/>
          <w:lang w:val="de-CH"/>
        </w:rPr>
      </w:pPr>
    </w:p>
    <w:sectPr w:rsidR="008460A2" w:rsidRPr="002C3C8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2C9B" w14:textId="77777777" w:rsidR="00A74A49" w:rsidRDefault="00A74A49">
      <w:r>
        <w:separator/>
      </w:r>
    </w:p>
  </w:endnote>
  <w:endnote w:type="continuationSeparator" w:id="0">
    <w:p w14:paraId="04CDCA84" w14:textId="77777777" w:rsidR="00A74A49" w:rsidRDefault="00A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 Pro">
    <w:panose1 w:val="02000503040000020003"/>
    <w:charset w:val="00"/>
    <w:family w:val="auto"/>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5EE" w14:textId="76802008" w:rsidR="002C3C89" w:rsidRDefault="00AB39F9" w:rsidP="002C3C89">
    <w:pPr>
      <w:tabs>
        <w:tab w:val="center" w:pos="4962"/>
      </w:tabs>
      <w:ind w:right="-3175" w:firstLine="2160"/>
      <w:rPr>
        <w:rFonts w:ascii="DIN-Regular" w:hAnsi="DIN-Regular"/>
        <w:sz w:val="17"/>
        <w:lang w:val="de-CH"/>
      </w:rPr>
    </w:pPr>
    <w:r>
      <w:rPr>
        <w:rFonts w:ascii="DIN-Regular" w:hAnsi="DIN-Regular"/>
        <w:sz w:val="17"/>
        <w:lang w:val="de-DE"/>
      </w:rPr>
      <w:t>P</w:t>
    </w:r>
    <w:proofErr w:type="spellStart"/>
    <w:r w:rsidR="002C3C89">
      <w:rPr>
        <w:rFonts w:ascii="DIN-Regular" w:hAnsi="DIN-Regular" w:cs="DIN-Regular"/>
        <w:color w:val="000000"/>
        <w:sz w:val="17"/>
        <w:szCs w:val="17"/>
        <w:lang w:val="de-CH"/>
      </w:rPr>
      <w:t>anasonic</w:t>
    </w:r>
    <w:proofErr w:type="spellEnd"/>
    <w:r w:rsidR="002C3C89">
      <w:rPr>
        <w:rFonts w:ascii="DIN-Regular" w:hAnsi="DIN-Regular" w:cs="DIN-Regular"/>
        <w:color w:val="000000"/>
        <w:sz w:val="17"/>
        <w:szCs w:val="17"/>
        <w:lang w:val="de-CH"/>
      </w:rPr>
      <w:t xml:space="preserve"> Schweiz – eine Niederlassung der Panasonic Marketing Europe GmbH</w:t>
    </w:r>
  </w:p>
  <w:p w14:paraId="7E2EDB12" w14:textId="1323E7A2" w:rsidR="002C3C89" w:rsidRDefault="002C3C89" w:rsidP="002C3C89">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p>
  <w:p w14:paraId="6379EFE4" w14:textId="57F4E6F4" w:rsidR="002C3C89" w:rsidRDefault="002C3C89" w:rsidP="002C3C89">
    <w:pPr>
      <w:ind w:left="2880" w:right="-3033" w:firstLine="720"/>
      <w:rPr>
        <w:rFonts w:ascii="DIN-Regular" w:hAnsi="DIN-Regular" w:cs="DIN-Regular"/>
        <w:color w:val="000000"/>
        <w:sz w:val="17"/>
        <w:szCs w:val="17"/>
        <w:lang w:val="de-CH"/>
      </w:rPr>
    </w:pPr>
  </w:p>
  <w:p w14:paraId="096A1BB9" w14:textId="6E78CDB9" w:rsidR="00B01407" w:rsidRPr="00B01407" w:rsidRDefault="002C3C89" w:rsidP="002C3C89">
    <w:pPr>
      <w:ind w:left="4320" w:right="-3033" w:firstLine="720"/>
      <w:rPr>
        <w:rFonts w:ascii="DIN-Regular" w:hAnsi="DIN-Regular"/>
        <w:sz w:val="20"/>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3</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Pr>
        <w:sz w:val="17"/>
        <w:lang w:val="de-DE"/>
      </w:rPr>
      <w:t>3</w:t>
    </w:r>
    <w:r w:rsidRPr="00C647B9">
      <w:rPr>
        <w:sz w:val="17"/>
        <w:lang w:val="de-DE"/>
      </w:rPr>
      <w:fldChar w:fldCharType="end"/>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77A0442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w:t>
    </w:r>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B806" w14:textId="77777777" w:rsidR="00A74A49" w:rsidRDefault="00A74A49">
      <w:r>
        <w:separator/>
      </w:r>
    </w:p>
  </w:footnote>
  <w:footnote w:type="continuationSeparator" w:id="0">
    <w:p w14:paraId="4C84A624" w14:textId="77777777" w:rsidR="00A74A49" w:rsidRDefault="00A7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3F46"/>
    <w:rsid w:val="0008483A"/>
    <w:rsid w:val="00084D09"/>
    <w:rsid w:val="00085002"/>
    <w:rsid w:val="00085019"/>
    <w:rsid w:val="00085042"/>
    <w:rsid w:val="00086D28"/>
    <w:rsid w:val="00086E68"/>
    <w:rsid w:val="00086EA5"/>
    <w:rsid w:val="0008763E"/>
    <w:rsid w:val="000902F7"/>
    <w:rsid w:val="000905AD"/>
    <w:rsid w:val="000905DF"/>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0741"/>
    <w:rsid w:val="000C246C"/>
    <w:rsid w:val="000C299A"/>
    <w:rsid w:val="000C341B"/>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47ECB"/>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4F6"/>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53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A49"/>
    <w:rsid w:val="001A2F90"/>
    <w:rsid w:val="001A36CB"/>
    <w:rsid w:val="001A39FA"/>
    <w:rsid w:val="001A437F"/>
    <w:rsid w:val="001A5551"/>
    <w:rsid w:val="001A5FEB"/>
    <w:rsid w:val="001A725C"/>
    <w:rsid w:val="001A750E"/>
    <w:rsid w:val="001A7E39"/>
    <w:rsid w:val="001B0558"/>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7FA"/>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1CF"/>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1CE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C89"/>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137"/>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C9C"/>
    <w:rsid w:val="00312D45"/>
    <w:rsid w:val="00312D5D"/>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8B4"/>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E89"/>
    <w:rsid w:val="003A0723"/>
    <w:rsid w:val="003A0B8B"/>
    <w:rsid w:val="003A13E8"/>
    <w:rsid w:val="003A1750"/>
    <w:rsid w:val="003A2284"/>
    <w:rsid w:val="003A2C56"/>
    <w:rsid w:val="003A3192"/>
    <w:rsid w:val="003A408B"/>
    <w:rsid w:val="003A4B39"/>
    <w:rsid w:val="003A4E56"/>
    <w:rsid w:val="003A5063"/>
    <w:rsid w:val="003A53D9"/>
    <w:rsid w:val="003A54C0"/>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706"/>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7A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16B20"/>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9EB"/>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7F4"/>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0DE6"/>
    <w:rsid w:val="005810D7"/>
    <w:rsid w:val="005822D9"/>
    <w:rsid w:val="005822F1"/>
    <w:rsid w:val="005823D4"/>
    <w:rsid w:val="00582833"/>
    <w:rsid w:val="00582AD2"/>
    <w:rsid w:val="00582F4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3BB8"/>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1D21"/>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A0E"/>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3E1"/>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764"/>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A4F"/>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846"/>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3AF"/>
    <w:rsid w:val="008E3ACB"/>
    <w:rsid w:val="008E458F"/>
    <w:rsid w:val="008E45DD"/>
    <w:rsid w:val="008E4D44"/>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5D7B"/>
    <w:rsid w:val="00997A80"/>
    <w:rsid w:val="009A01EE"/>
    <w:rsid w:val="009A02B4"/>
    <w:rsid w:val="009A0521"/>
    <w:rsid w:val="009A0F09"/>
    <w:rsid w:val="009A1741"/>
    <w:rsid w:val="009A1768"/>
    <w:rsid w:val="009A1A58"/>
    <w:rsid w:val="009A1E72"/>
    <w:rsid w:val="009A200B"/>
    <w:rsid w:val="009A2920"/>
    <w:rsid w:val="009A373F"/>
    <w:rsid w:val="009A375A"/>
    <w:rsid w:val="009A3B29"/>
    <w:rsid w:val="009A4A0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4A49"/>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47"/>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544F"/>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869"/>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3E0"/>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A48"/>
    <w:rsid w:val="00CC1A84"/>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B2A"/>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08"/>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5F"/>
    <w:rsid w:val="00D91173"/>
    <w:rsid w:val="00D9137B"/>
    <w:rsid w:val="00D915DC"/>
    <w:rsid w:val="00D9269C"/>
    <w:rsid w:val="00D93687"/>
    <w:rsid w:val="00D936A3"/>
    <w:rsid w:val="00D9391F"/>
    <w:rsid w:val="00D943C5"/>
    <w:rsid w:val="00D945D5"/>
    <w:rsid w:val="00D94F7B"/>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6C0"/>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1A07"/>
    <w:rsid w:val="00E02E89"/>
    <w:rsid w:val="00E03649"/>
    <w:rsid w:val="00E041DA"/>
    <w:rsid w:val="00E0431D"/>
    <w:rsid w:val="00E0446E"/>
    <w:rsid w:val="00E04786"/>
    <w:rsid w:val="00E04DA0"/>
    <w:rsid w:val="00E04FE5"/>
    <w:rsid w:val="00E0579C"/>
    <w:rsid w:val="00E05F1C"/>
    <w:rsid w:val="00E0607B"/>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373"/>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4E3D"/>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013"/>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2497"/>
    <w:rsid w:val="00EF362D"/>
    <w:rsid w:val="00EF46AC"/>
    <w:rsid w:val="00EF4D8A"/>
    <w:rsid w:val="00EF5125"/>
    <w:rsid w:val="00EF60ED"/>
    <w:rsid w:val="00EF6198"/>
    <w:rsid w:val="00EF67D5"/>
    <w:rsid w:val="00EF68B4"/>
    <w:rsid w:val="00EF6B3E"/>
    <w:rsid w:val="00EF6C7F"/>
    <w:rsid w:val="00EF76E6"/>
    <w:rsid w:val="00EF7F76"/>
    <w:rsid w:val="00F00583"/>
    <w:rsid w:val="00F0174F"/>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57AE8"/>
    <w:rsid w:val="00F60748"/>
    <w:rsid w:val="00F6129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 w:type="paragraph" w:styleId="NurText">
    <w:name w:val="Plain Text"/>
    <w:basedOn w:val="Standard"/>
    <w:link w:val="NurTextZchn"/>
    <w:rsid w:val="00A96847"/>
    <w:rPr>
      <w:rFonts w:ascii="Courier New" w:hAnsi="Courier New" w:cs="Wingdings 2"/>
      <w:noProof/>
      <w:sz w:val="20"/>
      <w:lang w:val="de-DE" w:eastAsia="de-DE"/>
    </w:rPr>
  </w:style>
  <w:style w:type="character" w:customStyle="1" w:styleId="NurTextZchn">
    <w:name w:val="Nur Text Zchn"/>
    <w:basedOn w:val="Absatz-Standardschriftart"/>
    <w:link w:val="NurText"/>
    <w:rsid w:val="00A96847"/>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342560511">
      <w:bodyDiv w:val="1"/>
      <w:marLeft w:val="0"/>
      <w:marRight w:val="0"/>
      <w:marTop w:val="0"/>
      <w:marBottom w:val="0"/>
      <w:divBdr>
        <w:top w:val="none" w:sz="0" w:space="0" w:color="auto"/>
        <w:left w:val="none" w:sz="0" w:space="0" w:color="auto"/>
        <w:bottom w:val="none" w:sz="0" w:space="0" w:color="auto"/>
        <w:right w:val="none" w:sz="0" w:space="0" w:color="auto"/>
      </w:divBdr>
    </w:div>
    <w:div w:id="362440989">
      <w:bodyDiv w:val="1"/>
      <w:marLeft w:val="0"/>
      <w:marRight w:val="0"/>
      <w:marTop w:val="0"/>
      <w:marBottom w:val="0"/>
      <w:divBdr>
        <w:top w:val="none" w:sz="0" w:space="0" w:color="auto"/>
        <w:left w:val="none" w:sz="0" w:space="0" w:color="auto"/>
        <w:bottom w:val="none" w:sz="0" w:space="0" w:color="auto"/>
        <w:right w:val="none" w:sz="0" w:space="0" w:color="auto"/>
      </w:divBdr>
    </w:div>
    <w:div w:id="42114764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99117735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24476681">
      <w:bodyDiv w:val="1"/>
      <w:marLeft w:val="0"/>
      <w:marRight w:val="0"/>
      <w:marTop w:val="0"/>
      <w:marBottom w:val="0"/>
      <w:divBdr>
        <w:top w:val="none" w:sz="0" w:space="0" w:color="auto"/>
        <w:left w:val="none" w:sz="0" w:space="0" w:color="auto"/>
        <w:bottom w:val="none" w:sz="0" w:space="0" w:color="auto"/>
        <w:right w:val="none" w:sz="0" w:space="0" w:color="auto"/>
      </w:divBdr>
    </w:div>
    <w:div w:id="1895313378">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8823">
      <w:bodyDiv w:val="1"/>
      <w:marLeft w:val="0"/>
      <w:marRight w:val="0"/>
      <w:marTop w:val="0"/>
      <w:marBottom w:val="0"/>
      <w:divBdr>
        <w:top w:val="none" w:sz="0" w:space="0" w:color="auto"/>
        <w:left w:val="none" w:sz="0" w:space="0" w:color="auto"/>
        <w:bottom w:val="none" w:sz="0" w:space="0" w:color="auto"/>
        <w:right w:val="none" w:sz="0" w:space="0" w:color="auto"/>
      </w:divBdr>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89C4B-C538-004F-9480-80A0E9E3802D}">
  <ds:schemaRefs>
    <ds:schemaRef ds:uri="http://schemas.openxmlformats.org/officeDocument/2006/bibliography"/>
  </ds:schemaRefs>
</ds:datastoreItem>
</file>

<file path=customXml/itemProps2.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B0602-CFBC-4FF6-8C78-E9CDC0DD5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677</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5305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7</cp:revision>
  <cp:lastPrinted>2021-07-06T06:35:00Z</cp:lastPrinted>
  <dcterms:created xsi:type="dcterms:W3CDTF">2021-07-05T08:48:00Z</dcterms:created>
  <dcterms:modified xsi:type="dcterms:W3CDTF">2021-07-06T06:37:00Z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